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1495" w14:textId="77777777" w:rsidR="002E41B4" w:rsidRDefault="00000000">
      <w:pPr>
        <w:bidi/>
        <w:spacing w:before="900"/>
        <w:jc w:val="right"/>
      </w:pPr>
      <w:r>
        <w:rPr>
          <w:rFonts w:ascii="Noto Sans Arabic" w:eastAsia="Noto Sans Arabic" w:hAnsi="Noto Sans Arabic" w:cs="Noto Sans Arabic"/>
          <w:b/>
          <w:color w:val="1F4E79"/>
          <w:sz w:val="48"/>
        </w:rPr>
        <w:t>نماذج أعمال</w:t>
      </w:r>
    </w:p>
    <w:p w14:paraId="31519316" w14:textId="77777777" w:rsidR="002E41B4" w:rsidRDefault="00000000">
      <w:pPr>
        <w:bidi/>
        <w:jc w:val="right"/>
      </w:pPr>
      <w:r>
        <w:rPr>
          <w:rFonts w:ascii="Noto Sans Arabic" w:eastAsia="Noto Sans Arabic" w:hAnsi="Noto Sans Arabic" w:cs="Noto Sans Arabic"/>
          <w:color w:val="444444"/>
          <w:sz w:val="27"/>
        </w:rPr>
        <w:t>كتابة محتوى عربي - ترجمة - إعادة صياغة - تدقيق لغوي</w:t>
      </w:r>
    </w:p>
    <w:p w14:paraId="21848FAE" w14:textId="77777777" w:rsidR="002E41B4" w:rsidRDefault="00000000">
      <w:pPr>
        <w:bidi/>
        <w:jc w:val="right"/>
      </w:pPr>
      <w:r>
        <w:rPr>
          <w:rFonts w:ascii="Noto Sans Arabic" w:eastAsia="Noto Sans Arabic" w:hAnsi="Noto Sans Arabic" w:cs="Noto Sans Arabic"/>
          <w:color w:val="666666"/>
          <w:sz w:val="21"/>
        </w:rPr>
        <w:t>نسخة مختصرة مناسبة للإرفاق مع عروض العمل الحر</w:t>
      </w:r>
    </w:p>
    <w:p w14:paraId="7588D422" w14:textId="77777777" w:rsidR="002E41B4" w:rsidRDefault="00000000">
      <w:pPr>
        <w:pStyle w:val="ArabicHeading1"/>
        <w:bidi/>
        <w:spacing w:before="160" w:after="80"/>
        <w:jc w:val="right"/>
        <w:rPr>
          <w:rFonts w:hint="eastAsia"/>
        </w:rPr>
      </w:pPr>
      <w:r>
        <w:rPr>
          <w:rFonts w:eastAsia="Noto Sans Arabic"/>
        </w:rPr>
        <w:t>المحتويات</w:t>
      </w:r>
    </w:p>
    <w:p w14:paraId="1D3F18F6" w14:textId="77777777" w:rsidR="002E41B4" w:rsidRDefault="00000000">
      <w:pPr>
        <w:pStyle w:val="ArabicBody"/>
        <w:bidi/>
        <w:spacing w:after="60"/>
        <w:ind w:right="340" w:hanging="170"/>
        <w:jc w:val="right"/>
        <w:rPr>
          <w:rFonts w:hint="eastAsia"/>
        </w:rPr>
      </w:pPr>
      <w:r>
        <w:rPr>
          <w:rFonts w:eastAsia="Noto Sans Arabic"/>
        </w:rPr>
        <w:t>• نموذج كتابة محتوى عربي أصلي</w:t>
      </w:r>
    </w:p>
    <w:p w14:paraId="18AD4B8B" w14:textId="77777777" w:rsidR="002E41B4" w:rsidRDefault="00000000">
      <w:pPr>
        <w:pStyle w:val="ArabicBody"/>
        <w:bidi/>
        <w:spacing w:after="60"/>
        <w:ind w:right="340" w:hanging="170"/>
        <w:jc w:val="right"/>
        <w:rPr>
          <w:rFonts w:hint="eastAsia"/>
        </w:rPr>
      </w:pPr>
      <w:r>
        <w:rPr>
          <w:rFonts w:eastAsia="Noto Sans Arabic"/>
        </w:rPr>
        <w:t>• نموذج ترجمة من الإنجليزية إلى العربية</w:t>
      </w:r>
    </w:p>
    <w:p w14:paraId="4B37D37C" w14:textId="77777777" w:rsidR="002E41B4" w:rsidRDefault="00000000">
      <w:pPr>
        <w:pStyle w:val="ArabicBody"/>
        <w:bidi/>
        <w:spacing w:after="60"/>
        <w:ind w:right="340" w:hanging="170"/>
        <w:jc w:val="right"/>
        <w:rPr>
          <w:rFonts w:hint="eastAsia"/>
        </w:rPr>
      </w:pPr>
      <w:r>
        <w:rPr>
          <w:rFonts w:eastAsia="Noto Sans Arabic"/>
        </w:rPr>
        <w:t>• نموذج إعادة صياغة احترافية</w:t>
      </w:r>
    </w:p>
    <w:p w14:paraId="37B91A88" w14:textId="77777777" w:rsidR="002E41B4" w:rsidRDefault="00000000">
      <w:pPr>
        <w:pStyle w:val="ArabicBody"/>
        <w:bidi/>
        <w:spacing w:after="60"/>
        <w:ind w:right="340" w:hanging="170"/>
        <w:jc w:val="right"/>
        <w:rPr>
          <w:rFonts w:hint="eastAsia"/>
        </w:rPr>
      </w:pPr>
      <w:r>
        <w:rPr>
          <w:rFonts w:eastAsia="Noto Sans Arabic"/>
        </w:rPr>
        <w:t>• نموذج تدقيق لغوي وتحسين أسلوب</w:t>
      </w:r>
    </w:p>
    <w:p w14:paraId="533BAF1E" w14:textId="77777777" w:rsidR="002E41B4" w:rsidRDefault="00000000">
      <w:r>
        <w:br w:type="page"/>
      </w:r>
    </w:p>
    <w:p w14:paraId="33B9F854" w14:textId="77777777" w:rsidR="002E41B4" w:rsidRDefault="00000000">
      <w:pPr>
        <w:pStyle w:val="ArabicTitle"/>
        <w:bidi/>
        <w:jc w:val="right"/>
        <w:rPr>
          <w:rFonts w:hint="eastAsia"/>
        </w:rPr>
      </w:pPr>
      <w:r>
        <w:rPr>
          <w:rFonts w:eastAsia="Noto Sans Arabic"/>
          <w:color w:val="1F4E79"/>
        </w:rPr>
        <w:lastRenderedPageBreak/>
        <w:t>نموذج كتابة محتوى عربي أصلي</w:t>
      </w:r>
    </w:p>
    <w:p w14:paraId="00786D9C" w14:textId="77777777" w:rsidR="002E41B4" w:rsidRDefault="00000000">
      <w:pPr>
        <w:pStyle w:val="ArabicBody"/>
        <w:bidi/>
        <w:spacing w:after="160"/>
        <w:jc w:val="right"/>
        <w:rPr>
          <w:rFonts w:hint="eastAsia"/>
        </w:rPr>
      </w:pPr>
      <w:r>
        <w:rPr>
          <w:rFonts w:eastAsia="Noto Sans Arabic"/>
          <w:color w:val="555555"/>
          <w:sz w:val="22"/>
        </w:rPr>
        <w:t>نموذج مختصر</w:t>
      </w:r>
    </w:p>
    <w:p w14:paraId="2711AAE7" w14:textId="77777777" w:rsidR="002E41B4" w:rsidRDefault="00000000">
      <w:pPr>
        <w:pStyle w:val="ArabicBody"/>
        <w:bidi/>
        <w:spacing w:after="100" w:line="300" w:lineRule="auto"/>
        <w:ind w:firstLine="340"/>
        <w:jc w:val="right"/>
        <w:rPr>
          <w:rFonts w:hint="eastAsia"/>
        </w:rPr>
      </w:pPr>
      <w:r>
        <w:rPr>
          <w:rFonts w:eastAsia="Noto Sans Arabic"/>
        </w:rPr>
        <w:t>الاعتماد على الأدوية المتاحة دون وصفة طبية أصبح جزءًا شائعًا من الحياة اليومية، خصوصًا عند التعامل مع أعراض بسيطة مثل الصداع أو نزلات البرد أو الحموضة. ومع أن هذا النوع من الأدوية يوفّر سرعة في الوصول إلى العلاج ويخفف الضغط على المرافق الطبية، فإن استخدامه دون وعي كافٍ قد يؤدي إلى نتائج عكسية، منها تأخر تشخيص الحالة أو تداخلات دوائية غير محسوبة. لذلك لا تكمن المشكلة في الدواء نفسه، بل في طريقة اتخاذ القرار ودرجة فهم المستخدم لما يتناوله.</w:t>
      </w:r>
    </w:p>
    <w:p w14:paraId="6BD6205B" w14:textId="77777777" w:rsidR="002E41B4" w:rsidRDefault="00000000">
      <w:pPr>
        <w:pStyle w:val="ArabicBody"/>
        <w:bidi/>
        <w:spacing w:after="100" w:line="300" w:lineRule="auto"/>
        <w:ind w:firstLine="340"/>
        <w:jc w:val="right"/>
        <w:rPr>
          <w:rFonts w:hint="eastAsia"/>
        </w:rPr>
      </w:pPr>
      <w:r>
        <w:rPr>
          <w:rFonts w:eastAsia="Noto Sans Arabic"/>
        </w:rPr>
        <w:t>أحد أكثر الأخطاء شيوعًا هو اعتبار الدواء المتاح دون وصفة منتجًا آمنًا في جميع الأحوال. هذا الاعتقاد قد يدفع البعض إلى تكرار الجرعات، أو دمج أكثر من منتج يحتوي على المادة نفسها، أو استخدام الدواء لفترة أطول من اللازم. وفي حالات أخرى، قد يخفي الدواء أعراضًا مهمة تحتاج إلى تقييم طبي، فيظن الشخص أنه تحسن بينما تتفاقم المشكلة الأساسية بصمت. كما أن وجود أمراض مزمنة مثل ارتفاع ضغط الدم أو مشكلات المعدة أو الحمل يجعل بعض الأدوية غير مناسبة إلا بعد استشارة مختص.</w:t>
      </w:r>
    </w:p>
    <w:p w14:paraId="10A4307F" w14:textId="77777777" w:rsidR="002E41B4" w:rsidRDefault="00000000">
      <w:r>
        <w:br w:type="page"/>
      </w:r>
    </w:p>
    <w:p w14:paraId="05E52386" w14:textId="77777777" w:rsidR="002E41B4" w:rsidRDefault="00000000">
      <w:pPr>
        <w:pStyle w:val="ArabicTitle"/>
        <w:bidi/>
        <w:jc w:val="right"/>
        <w:rPr>
          <w:rFonts w:hint="eastAsia"/>
        </w:rPr>
      </w:pPr>
      <w:r>
        <w:rPr>
          <w:rFonts w:eastAsia="Noto Sans Arabic"/>
          <w:color w:val="1F4E79"/>
        </w:rPr>
        <w:lastRenderedPageBreak/>
        <w:t>نموذج ترجمة احترافية</w:t>
      </w:r>
    </w:p>
    <w:p w14:paraId="429085AD" w14:textId="77777777" w:rsidR="002E41B4" w:rsidRDefault="00000000">
      <w:pPr>
        <w:pStyle w:val="ArabicBody"/>
        <w:bidi/>
        <w:spacing w:after="160"/>
        <w:jc w:val="right"/>
        <w:rPr>
          <w:rFonts w:hint="eastAsia"/>
        </w:rPr>
      </w:pPr>
      <w:r>
        <w:rPr>
          <w:rFonts w:eastAsia="Noto Sans Arabic"/>
          <w:color w:val="555555"/>
          <w:sz w:val="22"/>
        </w:rPr>
        <w:t>مقتطف من ترجمة صحية/علمية</w:t>
      </w:r>
    </w:p>
    <w:p w14:paraId="3D6507F4" w14:textId="77777777" w:rsidR="002E41B4" w:rsidRDefault="00000000">
      <w:pPr>
        <w:pStyle w:val="ArabicHeading1"/>
        <w:bidi/>
        <w:spacing w:before="160" w:after="80"/>
        <w:jc w:val="right"/>
        <w:rPr>
          <w:rFonts w:hint="eastAsia"/>
        </w:rPr>
      </w:pPr>
      <w:r>
        <w:rPr>
          <w:rFonts w:eastAsia="Noto Sans Arabic"/>
        </w:rPr>
        <w:t>Source Text (English)</w:t>
      </w:r>
    </w:p>
    <w:p w14:paraId="67EEE7C4" w14:textId="77777777" w:rsidR="002E41B4" w:rsidRDefault="00000000">
      <w:pPr>
        <w:spacing w:after="80" w:line="288" w:lineRule="auto"/>
      </w:pPr>
      <w:r>
        <w:rPr>
          <w:rFonts w:ascii="Noto Sans" w:eastAsia="Noto Sans" w:hAnsi="Noto Sans" w:cs="Noto Sans"/>
          <w:sz w:val="21"/>
        </w:rPr>
        <w:t>Clear communication is one of the most important elements of safe healthcare. When medical information is explained in simple and precise language, patients are more likely to understand how to use their medicines correctly, recognize warning signs, and follow treatment plans consistently.</w:t>
      </w:r>
    </w:p>
    <w:p w14:paraId="533E3905" w14:textId="77777777" w:rsidR="002E41B4" w:rsidRDefault="00000000">
      <w:pPr>
        <w:spacing w:after="80" w:line="288" w:lineRule="auto"/>
      </w:pPr>
      <w:r>
        <w:rPr>
          <w:rFonts w:ascii="Noto Sans" w:eastAsia="Noto Sans" w:hAnsi="Noto Sans" w:cs="Noto Sans"/>
          <w:sz w:val="21"/>
        </w:rPr>
        <w:t>Poor communication, on the other hand, can lead to avoidable mistakes. A patient may take the wrong dose, stop treatment too early, or misunderstand the purpose of a medi...</w:t>
      </w:r>
    </w:p>
    <w:p w14:paraId="151E6776" w14:textId="77777777" w:rsidR="002E41B4" w:rsidRDefault="00000000">
      <w:pPr>
        <w:pStyle w:val="ArabicHeading1"/>
        <w:bidi/>
        <w:spacing w:before="160" w:after="80"/>
        <w:jc w:val="right"/>
        <w:rPr>
          <w:rFonts w:hint="eastAsia"/>
        </w:rPr>
      </w:pPr>
      <w:r>
        <w:rPr>
          <w:rFonts w:eastAsia="Noto Sans Arabic"/>
        </w:rPr>
        <w:t>الترجمة العربية</w:t>
      </w:r>
    </w:p>
    <w:p w14:paraId="4A73C9E5" w14:textId="77777777" w:rsidR="002E41B4" w:rsidRDefault="00000000">
      <w:pPr>
        <w:pStyle w:val="ArabicBody"/>
        <w:bidi/>
        <w:spacing w:after="100" w:line="300" w:lineRule="auto"/>
        <w:ind w:firstLine="340"/>
        <w:jc w:val="right"/>
        <w:rPr>
          <w:rFonts w:hint="eastAsia"/>
        </w:rPr>
      </w:pPr>
      <w:r>
        <w:rPr>
          <w:rFonts w:eastAsia="Noto Sans Arabic"/>
        </w:rPr>
        <w:t>يُعد التواصل الواضح أحد أهم عناصر الرعاية الصحية الآمنة. فعندما تُشرح المعلومات الطبية بلغة بسيطة ودقيقة، يصبح المرضى أكثر قدرة على فهم كيفية استخدام أدويتهم بشكل صحيح، والتعرّف على العلامات التحذيرية، والالتزام بالخطة العلاجية بصورة منتظمة.</w:t>
      </w:r>
    </w:p>
    <w:p w14:paraId="57154097" w14:textId="77777777" w:rsidR="002E41B4" w:rsidRDefault="00000000">
      <w:pPr>
        <w:pStyle w:val="ArabicBody"/>
        <w:bidi/>
        <w:spacing w:after="100" w:line="300" w:lineRule="auto"/>
        <w:ind w:firstLine="340"/>
        <w:jc w:val="right"/>
        <w:rPr>
          <w:rFonts w:hint="eastAsia"/>
        </w:rPr>
      </w:pPr>
      <w:r>
        <w:rPr>
          <w:rFonts w:eastAsia="Noto Sans Arabic"/>
        </w:rPr>
        <w:t>أما التواصل غير الواضح فقد يؤدي إلى أخطاء كان من الممكن تجنبها. فقد يتناول المريض جرعة غير صحيحة، أو يوقف العلاج مبكرًا، أو يسيء فهم الغرض من الدواء. وهذه المشكلات لا تحدث دائمًا بسبب ضعف العلاج نفسه؛ بل قد تحدث أحيانًا لأن التعليمات لم تكن واضحة بما يكفي.</w:t>
      </w:r>
    </w:p>
    <w:p w14:paraId="655BB7FF" w14:textId="77777777" w:rsidR="002E41B4" w:rsidRDefault="00000000">
      <w:r>
        <w:br w:type="page"/>
      </w:r>
    </w:p>
    <w:p w14:paraId="0AAE94FF" w14:textId="77777777" w:rsidR="002E41B4" w:rsidRDefault="00000000">
      <w:pPr>
        <w:pStyle w:val="ArabicTitle"/>
        <w:bidi/>
        <w:jc w:val="right"/>
        <w:rPr>
          <w:rFonts w:hint="eastAsia"/>
        </w:rPr>
      </w:pPr>
      <w:r>
        <w:rPr>
          <w:rFonts w:eastAsia="Noto Sans Arabic"/>
          <w:color w:val="1F4E79"/>
        </w:rPr>
        <w:lastRenderedPageBreak/>
        <w:t>نموذج إعادة صياغة محتوى</w:t>
      </w:r>
    </w:p>
    <w:p w14:paraId="6696A891" w14:textId="77777777" w:rsidR="002E41B4" w:rsidRDefault="00000000">
      <w:pPr>
        <w:pStyle w:val="ArabicBody"/>
        <w:bidi/>
        <w:spacing w:after="160"/>
        <w:jc w:val="right"/>
        <w:rPr>
          <w:rFonts w:hint="eastAsia"/>
        </w:rPr>
      </w:pPr>
      <w:r>
        <w:rPr>
          <w:rFonts w:eastAsia="Noto Sans Arabic"/>
          <w:color w:val="555555"/>
          <w:sz w:val="22"/>
        </w:rPr>
        <w:t>قبل وبعد</w:t>
      </w:r>
    </w:p>
    <w:p w14:paraId="3CCDA9C7" w14:textId="77777777" w:rsidR="002E41B4" w:rsidRDefault="00000000">
      <w:pPr>
        <w:pStyle w:val="ArabicHeading1"/>
        <w:bidi/>
        <w:spacing w:before="160" w:after="80"/>
        <w:jc w:val="right"/>
        <w:rPr>
          <w:rFonts w:hint="eastAsia"/>
        </w:rPr>
      </w:pPr>
      <w:r>
        <w:rPr>
          <w:rFonts w:eastAsia="Noto Sans Arabic"/>
        </w:rPr>
        <w:t>قبل إعادة الصياغة</w:t>
      </w:r>
    </w:p>
    <w:p w14:paraId="38F70EBC" w14:textId="77777777" w:rsidR="002E41B4" w:rsidRDefault="00000000">
      <w:pPr>
        <w:pStyle w:val="ArabicBody"/>
        <w:bidi/>
        <w:spacing w:after="100" w:line="300" w:lineRule="auto"/>
        <w:ind w:firstLine="340"/>
        <w:jc w:val="right"/>
        <w:rPr>
          <w:rFonts w:hint="eastAsia"/>
        </w:rPr>
      </w:pPr>
      <w:r>
        <w:rPr>
          <w:rFonts w:eastAsia="Noto Sans Arabic"/>
        </w:rPr>
        <w:t>في كثير من المتاجر الإلكترونية يتم وضع وصف سريع للمنتج بدون تفاصيل مهمة، وده بيخلي العميل مش فاهم الفرق بين كل منتج والتاني. كمان أحيانًا الكلام بيكون مكرر أو مش مرتب وبالتالي الصفحة شكلها ضعيف ومش بتساعد على اتخاذ قرار الشراء.</w:t>
      </w:r>
    </w:p>
    <w:p w14:paraId="78FD1B29" w14:textId="77777777" w:rsidR="002E41B4" w:rsidRDefault="00000000">
      <w:pPr>
        <w:pStyle w:val="ArabicHeading1"/>
        <w:bidi/>
        <w:spacing w:before="160" w:after="80"/>
        <w:jc w:val="right"/>
        <w:rPr>
          <w:rFonts w:hint="eastAsia"/>
        </w:rPr>
      </w:pPr>
      <w:r>
        <w:rPr>
          <w:rFonts w:eastAsia="Noto Sans Arabic"/>
        </w:rPr>
        <w:t>بعد إعادة الصياغة</w:t>
      </w:r>
    </w:p>
    <w:p w14:paraId="2107DE12" w14:textId="77777777" w:rsidR="002E41B4" w:rsidRDefault="00000000">
      <w:pPr>
        <w:pStyle w:val="ArabicBody"/>
        <w:bidi/>
        <w:spacing w:after="100" w:line="300" w:lineRule="auto"/>
        <w:ind w:firstLine="340"/>
        <w:jc w:val="right"/>
        <w:rPr>
          <w:rFonts w:hint="eastAsia"/>
        </w:rPr>
      </w:pPr>
      <w:r>
        <w:rPr>
          <w:rFonts w:eastAsia="Noto Sans Arabic"/>
        </w:rPr>
        <w:t>يعتمد نجاح صفحة المنتج في المتجر الإلكتروني على وصف واضح ومنظّم يشرح الفائدة الأساسية، ويبرز الفروقات بين الخيارات المتاحة، ويقدّم المعلومات التي يحتاجها العميل قبل الشراء. فعندما يكون المحتوى دقيقًا وغير مكرر وسهل التصفح، ترتفع ثقة الزائر بالمنتج وتصبح عملية اتخاذ القرار أسرع وأكثر سلاسة.</w:t>
      </w:r>
    </w:p>
    <w:p w14:paraId="45DF1ADA" w14:textId="77777777" w:rsidR="002E41B4" w:rsidRDefault="00000000">
      <w:pPr>
        <w:pStyle w:val="ArabicBody"/>
        <w:bidi/>
        <w:spacing w:after="100" w:line="300" w:lineRule="auto"/>
        <w:ind w:firstLine="340"/>
        <w:jc w:val="right"/>
        <w:rPr>
          <w:rFonts w:hint="eastAsia"/>
        </w:rPr>
      </w:pPr>
      <w:r>
        <w:rPr>
          <w:rFonts w:eastAsia="Noto Sans Arabic"/>
        </w:rPr>
        <w:t>أما المحتوى العلمي والطبي فيتطلب مستوى أعلى من الانتباه؛ إذ لا يكفي نقل المصطلحات ترجمةً حرفية، بل يجب فهم المعنى العلمي أولًا ثم تقديمه بصياغة عربية دقيقة ومفهومة. وبهذا نحافظ على صحة المعلومة ونضمن وصولها إلى القارئ بأسلوب مهني وواضح.</w:t>
      </w:r>
    </w:p>
    <w:p w14:paraId="1B15ED85" w14:textId="77777777" w:rsidR="002E41B4" w:rsidRDefault="00000000">
      <w:r>
        <w:br w:type="page"/>
      </w:r>
    </w:p>
    <w:p w14:paraId="3345D65E" w14:textId="77777777" w:rsidR="002E41B4" w:rsidRDefault="00000000">
      <w:pPr>
        <w:pStyle w:val="ArabicTitle"/>
        <w:bidi/>
        <w:jc w:val="right"/>
        <w:rPr>
          <w:rFonts w:hint="eastAsia"/>
        </w:rPr>
      </w:pPr>
      <w:r>
        <w:rPr>
          <w:rFonts w:eastAsia="Noto Sans Arabic"/>
          <w:color w:val="1F4E79"/>
        </w:rPr>
        <w:lastRenderedPageBreak/>
        <w:t>نموذج تدقيق لغوي وتحسين أسلوب</w:t>
      </w:r>
    </w:p>
    <w:p w14:paraId="193D9FD4" w14:textId="77777777" w:rsidR="002E41B4" w:rsidRDefault="00000000">
      <w:pPr>
        <w:pStyle w:val="ArabicBody"/>
        <w:bidi/>
        <w:spacing w:after="160"/>
        <w:jc w:val="right"/>
        <w:rPr>
          <w:rFonts w:hint="eastAsia"/>
        </w:rPr>
      </w:pPr>
      <w:r>
        <w:rPr>
          <w:rFonts w:eastAsia="Noto Sans Arabic"/>
          <w:color w:val="555555"/>
          <w:sz w:val="22"/>
        </w:rPr>
        <w:t>مثال عملي</w:t>
      </w:r>
    </w:p>
    <w:p w14:paraId="6C294D06" w14:textId="77777777" w:rsidR="002E41B4" w:rsidRDefault="00000000">
      <w:pPr>
        <w:pStyle w:val="ArabicHeading1"/>
        <w:bidi/>
        <w:spacing w:before="160" w:after="80"/>
        <w:jc w:val="right"/>
        <w:rPr>
          <w:rFonts w:hint="eastAsia"/>
        </w:rPr>
      </w:pPr>
      <w:r>
        <w:rPr>
          <w:rFonts w:eastAsia="Noto Sans Arabic"/>
        </w:rPr>
        <w:t>قبل التدقيق</w:t>
      </w:r>
    </w:p>
    <w:p w14:paraId="077CC430" w14:textId="77777777" w:rsidR="002E41B4" w:rsidRDefault="00000000">
      <w:pPr>
        <w:pStyle w:val="ArabicBody"/>
        <w:bidi/>
        <w:spacing w:after="100" w:line="300" w:lineRule="auto"/>
        <w:ind w:firstLine="340"/>
        <w:jc w:val="right"/>
        <w:rPr>
          <w:rFonts w:hint="eastAsia"/>
        </w:rPr>
      </w:pPr>
      <w:r>
        <w:rPr>
          <w:rFonts w:eastAsia="Noto Sans Arabic"/>
        </w:rPr>
        <w:t>يحتاج المحتوى الطبي إلى دقة عالية، لأن أي خطأ بسيط في المصطلحات أو الجرعات قد يسبب سوء فهم عند القارئ. كما أن بعض النصوص تكتب بلغة معقده ومليئه بالحشو، وهذا يجعل المعلومة أقل وضوحا ويقلل من ثقة المتلقي بها. لذلك من المهم مراجعة النص جيداً قبل نشرة والتأكد من سلامة الأسلوب وتناسق الافكار.</w:t>
      </w:r>
    </w:p>
    <w:p w14:paraId="587F1338" w14:textId="77777777" w:rsidR="002E41B4" w:rsidRDefault="00000000">
      <w:pPr>
        <w:pStyle w:val="ArabicHeading1"/>
        <w:bidi/>
        <w:spacing w:before="160" w:after="80"/>
        <w:jc w:val="right"/>
        <w:rPr>
          <w:rFonts w:hint="eastAsia"/>
        </w:rPr>
      </w:pPr>
      <w:r>
        <w:rPr>
          <w:rFonts w:eastAsia="Noto Sans Arabic"/>
        </w:rPr>
        <w:t>بعد التدقيق</w:t>
      </w:r>
    </w:p>
    <w:p w14:paraId="1E112483" w14:textId="77777777" w:rsidR="002E41B4" w:rsidRDefault="00000000">
      <w:pPr>
        <w:pStyle w:val="ArabicBody"/>
        <w:bidi/>
        <w:spacing w:after="100" w:line="300" w:lineRule="auto"/>
        <w:ind w:firstLine="340"/>
        <w:jc w:val="right"/>
        <w:rPr>
          <w:rFonts w:hint="eastAsia"/>
        </w:rPr>
      </w:pPr>
      <w:r>
        <w:rPr>
          <w:rFonts w:eastAsia="Noto Sans Arabic"/>
        </w:rPr>
        <w:t>يحتاج المحتوى الطبي إلى دقة عالية؛ لأن أي خطأ بسيط في المصطلحات أو الجرعات قد يسبب سوء فهم لدى القارئ. كما أن بعض النصوص تُكتب بلغة معقدة ومليئة بالحشو، وهذا يجعل المعلومة أقل وضوحًا ويقلل من ثقة المتلقي بها. لذلك من المهم مراجعة النص جيدًا قبل نشره، والتأكد من سلامة الأسلوب وتناسق الأفكار.</w:t>
      </w:r>
    </w:p>
    <w:p w14:paraId="12B26EEA" w14:textId="77777777" w:rsidR="002E41B4" w:rsidRDefault="00000000">
      <w:pPr>
        <w:pStyle w:val="ArabicHeading1"/>
        <w:bidi/>
        <w:spacing w:before="160" w:after="80"/>
        <w:jc w:val="right"/>
        <w:rPr>
          <w:rFonts w:hint="eastAsia"/>
        </w:rPr>
      </w:pPr>
      <w:r>
        <w:rPr>
          <w:rFonts w:eastAsia="Noto Sans Arabic"/>
        </w:rPr>
        <w:t>ملاحظات سريعة</w:t>
      </w:r>
    </w:p>
    <w:p w14:paraId="6255B8C2" w14:textId="77777777" w:rsidR="002E41B4" w:rsidRDefault="00000000">
      <w:pPr>
        <w:pStyle w:val="ArabicBody"/>
        <w:bidi/>
        <w:spacing w:after="60"/>
        <w:ind w:right="340" w:hanging="170"/>
        <w:jc w:val="right"/>
        <w:rPr>
          <w:rFonts w:hint="eastAsia"/>
        </w:rPr>
      </w:pPr>
      <w:r>
        <w:rPr>
          <w:rFonts w:eastAsia="Noto Sans Arabic"/>
        </w:rPr>
        <w:t>• تصحيح الهمزات والتنوين مثل: «معقدة»، «مليئة»، «وضوحًا»، «جيدًا».</w:t>
      </w:r>
    </w:p>
    <w:p w14:paraId="0D9DDBB2" w14:textId="77777777" w:rsidR="002E41B4" w:rsidRDefault="00000000">
      <w:pPr>
        <w:pStyle w:val="ArabicBody"/>
        <w:bidi/>
        <w:spacing w:after="60"/>
        <w:ind w:right="340" w:hanging="170"/>
        <w:jc w:val="right"/>
        <w:rPr>
          <w:rFonts w:hint="eastAsia"/>
        </w:rPr>
      </w:pPr>
      <w:r>
        <w:rPr>
          <w:rFonts w:eastAsia="Noto Sans Arabic"/>
        </w:rPr>
        <w:t>• تحسين الربط بعلامات ترقيم أدق، مثل استخدام الفاصلة المنقوطة بعد الجملة الأولى.</w:t>
      </w:r>
    </w:p>
    <w:p w14:paraId="7C0200BF" w14:textId="77777777" w:rsidR="002E41B4" w:rsidRDefault="00000000">
      <w:pPr>
        <w:pStyle w:val="ArabicBody"/>
        <w:bidi/>
        <w:spacing w:after="60"/>
        <w:ind w:right="340" w:hanging="170"/>
        <w:jc w:val="right"/>
        <w:rPr>
          <w:rFonts w:hint="eastAsia"/>
        </w:rPr>
      </w:pPr>
      <w:r>
        <w:rPr>
          <w:rFonts w:eastAsia="Noto Sans Arabic"/>
        </w:rPr>
        <w:t>• تعديل «عند القارئ» إلى «لدى القارئ» لسلامة الأسلوب.</w:t>
      </w:r>
    </w:p>
    <w:sectPr w:rsidR="002E41B4" w:rsidSect="00034616">
      <w:headerReference w:type="default" r:id="rId8"/>
      <w:footerReference w:type="default" r:id="rId9"/>
      <w:pgSz w:w="12240" w:h="15840"/>
      <w:pgMar w:top="1134" w:right="1247" w:bottom="1134" w:left="124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BBE6" w14:textId="77777777" w:rsidR="00E87F76" w:rsidRDefault="00E87F76">
      <w:pPr>
        <w:spacing w:after="0" w:line="240" w:lineRule="auto"/>
      </w:pPr>
      <w:r>
        <w:separator/>
      </w:r>
    </w:p>
  </w:endnote>
  <w:endnote w:type="continuationSeparator" w:id="0">
    <w:p w14:paraId="31625367" w14:textId="77777777" w:rsidR="00E87F76" w:rsidRDefault="00E8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Arabic">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50A9" w14:textId="77777777" w:rsidR="002E41B4" w:rsidRDefault="00000000">
    <w:pPr>
      <w:pStyle w:val="Footer"/>
      <w:jc w:val="center"/>
    </w:pPr>
    <w:r>
      <w:rPr>
        <w:rFonts w:ascii="Noto Sans Arabic" w:eastAsia="Noto Sans Arabic" w:hAnsi="Noto Sans Arabic" w:cs="Noto Sans Arabic"/>
        <w:sz w:val="20"/>
      </w:rPr>
      <w:fldChar w:fldCharType="begin"/>
    </w:r>
    <w:r>
      <w:rPr>
        <w:rFonts w:ascii="Noto Sans Arabic" w:eastAsia="Noto Sans Arabic" w:hAnsi="Noto Sans Arabic" w:cs="Noto Sans Arabic"/>
        <w:sz w:val="20"/>
      </w:rPr>
      <w:instrText>PAGE</w:instrText>
    </w:r>
    <w:r w:rsidR="00CB3C01">
      <w:rPr>
        <w:rFonts w:ascii="Noto Sans Arabic" w:eastAsia="Noto Sans Arabic" w:hAnsi="Noto Sans Arabic" w:cs="Noto Sans Arabic"/>
        <w:sz w:val="20"/>
      </w:rPr>
      <w:fldChar w:fldCharType="separate"/>
    </w:r>
    <w:r w:rsidR="00CB3C01">
      <w:rPr>
        <w:rFonts w:ascii="Noto Sans Arabic" w:eastAsia="Noto Sans Arabic" w:hAnsi="Noto Sans Arabic" w:cs="Noto Sans Arabic"/>
        <w:noProof/>
        <w:sz w:val="20"/>
      </w:rPr>
      <w:t>1</w:t>
    </w:r>
    <w:r>
      <w:rPr>
        <w:rFonts w:ascii="Noto Sans Arabic" w:eastAsia="Noto Sans Arabic" w:hAnsi="Noto Sans Arabic" w:cs="Noto Sans Arab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2E8A" w14:textId="77777777" w:rsidR="00E87F76" w:rsidRDefault="00E87F76">
      <w:pPr>
        <w:spacing w:after="0" w:line="240" w:lineRule="auto"/>
      </w:pPr>
      <w:r>
        <w:separator/>
      </w:r>
    </w:p>
  </w:footnote>
  <w:footnote w:type="continuationSeparator" w:id="0">
    <w:p w14:paraId="5AE9C993" w14:textId="77777777" w:rsidR="00E87F76" w:rsidRDefault="00E87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93EC" w14:textId="77777777" w:rsidR="002E41B4" w:rsidRDefault="00000000">
    <w:pPr>
      <w:pStyle w:val="Header"/>
      <w:bidi/>
      <w:jc w:val="right"/>
    </w:pPr>
    <w:proofErr w:type="spellStart"/>
    <w:r>
      <w:rPr>
        <w:rFonts w:ascii="Noto Sans Arabic" w:eastAsia="Noto Sans Arabic" w:hAnsi="Noto Sans Arabic" w:cs="Noto Sans Arabic"/>
        <w:color w:val="666666"/>
        <w:sz w:val="18"/>
      </w:rPr>
      <w:t>نماذج</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أعمال</w:t>
    </w:r>
    <w:proofErr w:type="spellEnd"/>
    <w:r>
      <w:rPr>
        <w:rFonts w:ascii="Noto Sans Arabic" w:eastAsia="Noto Sans Arabic" w:hAnsi="Noto Sans Arabic" w:cs="Noto Sans Arabic"/>
        <w:color w:val="666666"/>
        <w:sz w:val="18"/>
      </w:rPr>
      <w:t xml:space="preserve"> - </w:t>
    </w:r>
    <w:proofErr w:type="spellStart"/>
    <w:r>
      <w:rPr>
        <w:rFonts w:ascii="Noto Sans Arabic" w:eastAsia="Noto Sans Arabic" w:hAnsi="Noto Sans Arabic" w:cs="Noto Sans Arabic"/>
        <w:color w:val="666666"/>
        <w:sz w:val="18"/>
      </w:rPr>
      <w:t>كتابة</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وترجمة</w:t>
    </w:r>
    <w:proofErr w:type="spellEnd"/>
    <w:r>
      <w:rPr>
        <w:rFonts w:ascii="Noto Sans Arabic" w:eastAsia="Noto Sans Arabic" w:hAnsi="Noto Sans Arabic" w:cs="Noto Sans Arabic"/>
        <w:color w:val="666666"/>
        <w:sz w:val="18"/>
      </w:rPr>
      <w:t xml:space="preserve"> </w:t>
    </w:r>
    <w:proofErr w:type="spellStart"/>
    <w:r>
      <w:rPr>
        <w:rFonts w:ascii="Noto Sans Arabic" w:eastAsia="Noto Sans Arabic" w:hAnsi="Noto Sans Arabic" w:cs="Noto Sans Arabic"/>
        <w:color w:val="666666"/>
        <w:sz w:val="18"/>
      </w:rPr>
      <w:t>وتدقيق</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4456923">
    <w:abstractNumId w:val="8"/>
  </w:num>
  <w:num w:numId="2" w16cid:durableId="1325931236">
    <w:abstractNumId w:val="6"/>
  </w:num>
  <w:num w:numId="3" w16cid:durableId="1679649300">
    <w:abstractNumId w:val="5"/>
  </w:num>
  <w:num w:numId="4" w16cid:durableId="1851799036">
    <w:abstractNumId w:val="4"/>
  </w:num>
  <w:num w:numId="5" w16cid:durableId="6837572">
    <w:abstractNumId w:val="7"/>
  </w:num>
  <w:num w:numId="6" w16cid:durableId="1242987216">
    <w:abstractNumId w:val="3"/>
  </w:num>
  <w:num w:numId="7" w16cid:durableId="2095347559">
    <w:abstractNumId w:val="2"/>
  </w:num>
  <w:num w:numId="8" w16cid:durableId="267662982">
    <w:abstractNumId w:val="1"/>
  </w:num>
  <w:num w:numId="9" w16cid:durableId="149187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41B4"/>
    <w:rsid w:val="00326F90"/>
    <w:rsid w:val="00AA1D8D"/>
    <w:rsid w:val="00AE23CB"/>
    <w:rsid w:val="00B47730"/>
    <w:rsid w:val="00CB0664"/>
    <w:rsid w:val="00CB3C01"/>
    <w:rsid w:val="00E87F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395B6"/>
  <w14:defaultImageDpi w14:val="300"/>
  <w15:docId w15:val="{78D84498-67DF-41AA-AC81-8472027F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abicTitle">
    <w:name w:val="ArabicTitle"/>
    <w:basedOn w:val="Title"/>
    <w:rPr>
      <w:rFonts w:ascii="Noto Sans Arabic" w:hAnsi="Noto Sans Arabic" w:cs="Noto Sans Arabic"/>
      <w:b/>
      <w:sz w:val="44"/>
    </w:rPr>
  </w:style>
  <w:style w:type="paragraph" w:customStyle="1" w:styleId="ArabicHeading1">
    <w:name w:val="ArabicHeading1"/>
    <w:basedOn w:val="Heading1"/>
    <w:rPr>
      <w:rFonts w:ascii="Noto Sans Arabic" w:hAnsi="Noto Sans Arabic" w:cs="Noto Sans Arabic"/>
      <w:color w:val="1F4E79"/>
      <w:sz w:val="30"/>
    </w:rPr>
  </w:style>
  <w:style w:type="paragraph" w:customStyle="1" w:styleId="ArabicBody">
    <w:name w:val="ArabicBody"/>
    <w:basedOn w:val="Normal"/>
    <w:rPr>
      <w:rFonts w:ascii="Noto Sans Arabic" w:hAnsi="Noto Sans Arabic" w:cs="Noto Sans Arabic"/>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Tamer</dc:creator>
  <cp:keywords/>
  <dc:description/>
  <cp:lastModifiedBy>Ahmed Tamer Ahmed Ahmed Mohamed Madkour [Student-HML]</cp:lastModifiedBy>
  <cp:revision>2</cp:revision>
  <dcterms:created xsi:type="dcterms:W3CDTF">2013-12-23T23:15:00Z</dcterms:created>
  <dcterms:modified xsi:type="dcterms:W3CDTF">2026-03-10T18:11:00Z</dcterms:modified>
  <cp:category/>
</cp:coreProperties>
</file>