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E7E0" w14:textId="77777777" w:rsidR="003018D5" w:rsidRDefault="00000000">
      <w:pPr>
        <w:pStyle w:val="ArabicTitle"/>
        <w:bidi/>
        <w:jc w:val="right"/>
        <w:rPr>
          <w:rFonts w:hint="eastAsia"/>
        </w:rPr>
      </w:pPr>
      <w:r>
        <w:rPr>
          <w:rFonts w:eastAsia="Noto Sans Arabic"/>
          <w:color w:val="1F4E79"/>
        </w:rPr>
        <w:t>نموذج كتابة محتوى عربي أصلي</w:t>
      </w:r>
    </w:p>
    <w:p w14:paraId="7D4F595C" w14:textId="77777777" w:rsidR="003018D5" w:rsidRDefault="00000000">
      <w:pPr>
        <w:pStyle w:val="ArabicBody"/>
        <w:bidi/>
        <w:spacing w:after="160"/>
        <w:jc w:val="right"/>
        <w:rPr>
          <w:rFonts w:hint="eastAsia"/>
        </w:rPr>
      </w:pPr>
      <w:r>
        <w:rPr>
          <w:rFonts w:eastAsia="Noto Sans Arabic"/>
          <w:color w:val="555555"/>
          <w:sz w:val="22"/>
        </w:rPr>
        <w:t>مقال أصلي باللغة العربية - أسلوب معلوماتي احترافي</w:t>
      </w:r>
    </w:p>
    <w:tbl>
      <w:tblPr>
        <w:tblW w:w="0" w:type="auto"/>
        <w:jc w:val="center"/>
        <w:tblLayout w:type="fixed"/>
        <w:tblLook w:val="04A0" w:firstRow="1" w:lastRow="0" w:firstColumn="1" w:lastColumn="0" w:noHBand="0" w:noVBand="1"/>
      </w:tblPr>
      <w:tblGrid>
        <w:gridCol w:w="8787"/>
      </w:tblGrid>
      <w:tr w:rsidR="003018D5" w14:paraId="14482412" w14:textId="77777777">
        <w:trPr>
          <w:jc w:val="center"/>
        </w:trPr>
        <w:tc>
          <w:tcPr>
            <w:tcW w:w="8787" w:type="dxa"/>
            <w:shd w:val="clear" w:color="auto" w:fill="F4F8FB"/>
            <w:vAlign w:val="center"/>
          </w:tcPr>
          <w:p w14:paraId="68240838" w14:textId="77777777" w:rsidR="003018D5" w:rsidRDefault="00000000">
            <w:pPr>
              <w:bidi/>
              <w:spacing w:after="40"/>
              <w:jc w:val="right"/>
            </w:pPr>
            <w:r>
              <w:rPr>
                <w:rFonts w:ascii="Noto Sans Arabic" w:eastAsia="Noto Sans Arabic" w:hAnsi="Noto Sans Arabic" w:cs="Noto Sans Arabic"/>
                <w:b/>
                <w:color w:val="1F4E79"/>
                <w:sz w:val="23"/>
              </w:rPr>
              <w:t>ما الذي يبرزه هذا النموذج؟</w:t>
            </w:r>
          </w:p>
          <w:p w14:paraId="495C3877" w14:textId="77777777" w:rsidR="003018D5" w:rsidRDefault="00000000">
            <w:pPr>
              <w:bidi/>
              <w:spacing w:after="40"/>
              <w:jc w:val="right"/>
            </w:pPr>
            <w:r>
              <w:rPr>
                <w:rFonts w:ascii="Noto Sans Arabic" w:eastAsia="Noto Sans Arabic" w:hAnsi="Noto Sans Arabic" w:cs="Noto Sans Arabic"/>
                <w:sz w:val="21"/>
              </w:rPr>
              <w:t>• كتابة عربية أصلية بصياغة احترافية</w:t>
            </w:r>
          </w:p>
          <w:p w14:paraId="71EF0B30" w14:textId="77777777" w:rsidR="003018D5" w:rsidRDefault="00000000">
            <w:pPr>
              <w:bidi/>
              <w:spacing w:after="40"/>
              <w:jc w:val="right"/>
            </w:pPr>
            <w:r>
              <w:rPr>
                <w:rFonts w:ascii="Noto Sans Arabic" w:eastAsia="Noto Sans Arabic" w:hAnsi="Noto Sans Arabic" w:cs="Noto Sans Arabic"/>
                <w:sz w:val="21"/>
              </w:rPr>
              <w:t>• تنظيم منطقي للأفكار والعناوين</w:t>
            </w:r>
          </w:p>
          <w:p w14:paraId="7A8D2818" w14:textId="77777777" w:rsidR="003018D5" w:rsidRDefault="00000000">
            <w:pPr>
              <w:bidi/>
              <w:spacing w:after="40"/>
              <w:jc w:val="right"/>
            </w:pPr>
            <w:r>
              <w:rPr>
                <w:rFonts w:ascii="Noto Sans Arabic" w:eastAsia="Noto Sans Arabic" w:hAnsi="Noto Sans Arabic" w:cs="Noto Sans Arabic"/>
                <w:sz w:val="21"/>
              </w:rPr>
              <w:t>• قدرة على معالجة محتوى طبي/علمي بأسلوب واضح</w:t>
            </w:r>
          </w:p>
        </w:tc>
      </w:tr>
    </w:tbl>
    <w:p w14:paraId="2E9C8A0D" w14:textId="77777777" w:rsidR="003018D5" w:rsidRDefault="003018D5"/>
    <w:p w14:paraId="4668E173" w14:textId="77777777" w:rsidR="003018D5" w:rsidRDefault="00000000">
      <w:pPr>
        <w:pStyle w:val="ArabicHeading1"/>
        <w:bidi/>
        <w:spacing w:before="160" w:after="80"/>
        <w:jc w:val="right"/>
        <w:rPr>
          <w:rFonts w:hint="eastAsia"/>
        </w:rPr>
      </w:pPr>
      <w:r>
        <w:rPr>
          <w:rFonts w:eastAsia="Noto Sans Arabic"/>
        </w:rPr>
        <w:t>مقدمة</w:t>
      </w:r>
    </w:p>
    <w:p w14:paraId="409DD29E" w14:textId="77777777" w:rsidR="003018D5" w:rsidRDefault="00000000">
      <w:pPr>
        <w:pStyle w:val="ArabicBody"/>
        <w:bidi/>
        <w:spacing w:after="100" w:line="300" w:lineRule="auto"/>
        <w:ind w:firstLine="340"/>
        <w:jc w:val="right"/>
        <w:rPr>
          <w:rFonts w:hint="eastAsia"/>
        </w:rPr>
      </w:pPr>
      <w:r>
        <w:rPr>
          <w:rFonts w:eastAsia="Noto Sans Arabic"/>
        </w:rPr>
        <w:t>الاعتماد على الأدوية المتاحة دون وصفة طبية أصبح جزءًا شائعًا من الحياة اليومية، خصوصًا عند التعامل مع أعراض بسيطة مثل الصداع أو نزلات البرد أو الحموضة. ومع أن هذا النوع من الأدوية يوفّر سرعة في الوصول إلى العلاج ويخفف الضغط على المرافق الطبية، فإن استخدامه دون وعي كافٍ قد يؤدي إلى نتائج عكسية، منها تأخر تشخيص الحالة أو تداخلات دوائية غير محسوبة. لذلك لا تكمن المشكلة في الدواء نفسه، بل في طريقة اتخاذ القرار ودرجة فهم المستخدم لما يتناوله.</w:t>
      </w:r>
    </w:p>
    <w:p w14:paraId="01A5C913" w14:textId="77777777" w:rsidR="003018D5" w:rsidRDefault="00000000">
      <w:pPr>
        <w:pStyle w:val="ArabicHeading1"/>
        <w:bidi/>
        <w:spacing w:before="160" w:after="80"/>
        <w:jc w:val="right"/>
        <w:rPr>
          <w:rFonts w:hint="eastAsia"/>
        </w:rPr>
      </w:pPr>
      <w:r>
        <w:rPr>
          <w:rFonts w:eastAsia="Noto Sans Arabic"/>
        </w:rPr>
        <w:t>متى يكون الاستخدام مقبولًا؟</w:t>
      </w:r>
    </w:p>
    <w:p w14:paraId="501F90EE" w14:textId="77777777" w:rsidR="003018D5" w:rsidRDefault="00000000">
      <w:pPr>
        <w:pStyle w:val="ArabicBody"/>
        <w:bidi/>
        <w:spacing w:after="100" w:line="300" w:lineRule="auto"/>
        <w:ind w:firstLine="340"/>
        <w:jc w:val="right"/>
        <w:rPr>
          <w:rFonts w:hint="eastAsia"/>
        </w:rPr>
      </w:pPr>
      <w:r>
        <w:rPr>
          <w:rFonts w:eastAsia="Noto Sans Arabic"/>
        </w:rPr>
        <w:t>يمكن أن يكون استعمال بعض الأدوية دون وصفة مقبولًا عند وجود أعراض بسيطة ومعروفة للمريض، وعند الالتزام الدقيق بالجرعة ومدة الاستخدام والتعليمات المكتوبة على العبوة. كما يصبح القرار أكثر أمانًا عندما يقرأ المستخدم النشرة الداخلية، ويتحقق من المادة الفعالة، ويتأكد من عدم وجود حساسية سابقة أو أمراض مزمنة قد تتأثر بالدواء. الفكرة الأساسية هنا هي أن الاستخدام المسؤول يعتمد على المعرفة، لا على التسرع أو التجربة العشوائية.</w:t>
      </w:r>
    </w:p>
    <w:p w14:paraId="6607C8AF" w14:textId="77777777" w:rsidR="003018D5" w:rsidRDefault="00000000">
      <w:pPr>
        <w:pStyle w:val="ArabicHeading1"/>
        <w:bidi/>
        <w:spacing w:before="160" w:after="80"/>
        <w:jc w:val="right"/>
        <w:rPr>
          <w:rFonts w:hint="eastAsia"/>
        </w:rPr>
      </w:pPr>
      <w:r>
        <w:rPr>
          <w:rFonts w:eastAsia="Noto Sans Arabic"/>
        </w:rPr>
        <w:t>المخاطر التي يغفل عنها كثيرون</w:t>
      </w:r>
    </w:p>
    <w:p w14:paraId="53AADF27" w14:textId="77777777" w:rsidR="003018D5" w:rsidRDefault="00000000">
      <w:pPr>
        <w:pStyle w:val="ArabicBody"/>
        <w:bidi/>
        <w:spacing w:after="100" w:line="300" w:lineRule="auto"/>
        <w:ind w:firstLine="340"/>
        <w:jc w:val="right"/>
        <w:rPr>
          <w:rFonts w:hint="eastAsia"/>
        </w:rPr>
      </w:pPr>
      <w:r>
        <w:rPr>
          <w:rFonts w:eastAsia="Noto Sans Arabic"/>
        </w:rPr>
        <w:t>أحد أكثر الأخطاء شيوعًا هو اعتبار الدواء المتاح دون وصفة منتجًا آمنًا في جميع الأحوال. هذا الاعتقاد قد يدفع البعض إلى تكرار الجرعات، أو دمج أكثر من منتج يحتوي على المادة نفسها، أو استخدام الدواء لفترة أطول من اللازم. وفي حالات أخرى، قد يخفي الدواء أعراضًا مهمة تحتاج إلى تقييم طبي، فيظن الشخص أنه تحسن بينما تتفاقم المشكلة الأساسية بصمت. كما أن وجود أمراض مزمنة مثل ارتفاع ضغط الدم أو مشكلات المعدة أو الحمل يجعل بعض الأدوية غير مناسبة إلا بعد استشارة مختص.</w:t>
      </w:r>
    </w:p>
    <w:p w14:paraId="5D3FC57D" w14:textId="77777777" w:rsidR="003018D5" w:rsidRDefault="00000000">
      <w:pPr>
        <w:pStyle w:val="ArabicHeading1"/>
        <w:bidi/>
        <w:spacing w:before="160" w:after="80"/>
        <w:jc w:val="right"/>
        <w:rPr>
          <w:rFonts w:hint="eastAsia"/>
        </w:rPr>
      </w:pPr>
      <w:r>
        <w:rPr>
          <w:rFonts w:eastAsia="Noto Sans Arabic"/>
        </w:rPr>
        <w:t>كيف نتخذ قرارًا أكثر أمانًا؟</w:t>
      </w:r>
    </w:p>
    <w:p w14:paraId="728842F2" w14:textId="77777777" w:rsidR="003018D5" w:rsidRDefault="00000000">
      <w:pPr>
        <w:pStyle w:val="ArabicBody"/>
        <w:bidi/>
        <w:spacing w:after="100" w:line="300" w:lineRule="auto"/>
        <w:ind w:firstLine="340"/>
        <w:jc w:val="right"/>
        <w:rPr>
          <w:rFonts w:hint="eastAsia"/>
        </w:rPr>
      </w:pPr>
      <w:r>
        <w:rPr>
          <w:rFonts w:eastAsia="Noto Sans Arabic"/>
        </w:rPr>
        <w:t>القرار الصحيح يبدأ من طرح أسئلة بسيطة: ما سبب هذا العرض؟ منذ متى بدأ؟ هل يتكرر؟ وهل توجد أدوية أخرى أتناولها حاليًا؟ إذا كانت الأعراض شديدة أو غير معتادة أو مستمرة لعدة أيام، فالأفضل عدم الاكتفاء بالعلاج الذاتي. كذلك يُنصح باختيار منتج واحد واضح التركيب بدلًا من تناول أكثر من مستحضر في الوقت نفسه دون حاجة. وعند الشك، تبقى استشارة الصيدلي خطوة عملية ومهمة؛ لأنه قادر على توضيح الجرعات، والتنبيه إلى التحذيرات، واقتراح متى يجب التوجه إلى الطبيب.</w:t>
      </w:r>
    </w:p>
    <w:p w14:paraId="707D2563" w14:textId="77777777" w:rsidR="003018D5" w:rsidRDefault="00000000">
      <w:pPr>
        <w:pStyle w:val="ArabicHeading1"/>
        <w:bidi/>
        <w:spacing w:before="160" w:after="80"/>
        <w:jc w:val="right"/>
        <w:rPr>
          <w:rFonts w:hint="eastAsia"/>
        </w:rPr>
      </w:pPr>
      <w:r>
        <w:rPr>
          <w:rFonts w:eastAsia="Noto Sans Arabic"/>
        </w:rPr>
        <w:t>خاتمة</w:t>
      </w:r>
    </w:p>
    <w:p w14:paraId="0C104154" w14:textId="77777777" w:rsidR="003018D5" w:rsidRDefault="00000000">
      <w:pPr>
        <w:pStyle w:val="ArabicBody"/>
        <w:bidi/>
        <w:spacing w:after="100" w:line="300" w:lineRule="auto"/>
        <w:ind w:firstLine="340"/>
        <w:jc w:val="right"/>
        <w:rPr>
          <w:rFonts w:hint="eastAsia"/>
        </w:rPr>
      </w:pPr>
      <w:r>
        <w:rPr>
          <w:rFonts w:eastAsia="Noto Sans Arabic"/>
        </w:rPr>
        <w:t>الاستخدام المسؤول للأدوية دون وصفة لا يعني الخوف منها، بل احترامها. فكل دواء، مهما بدا بسيطًا، يحمل فائدة محتملة ومخاطر محتملة في الوقت نفسه. وعندما يجمع المستخدم بين قراءة المعلومات، والانتباه لحالته الصحية، وسؤال المختص عند الحاجة، يصبح قادرًا على الاستفادة من الدواء بطريقة أكثر أمانًا وفعالية. لهذا فإن الوعي الدوائي ليس رفاهية، بل جزء أساسي من حماية الصحة اليومية.</w:t>
      </w:r>
    </w:p>
    <w:sectPr w:rsidR="003018D5" w:rsidSect="00034616">
      <w:headerReference w:type="default" r:id="rId8"/>
      <w:footerReference w:type="default" r:id="rId9"/>
      <w:pgSz w:w="12240" w:h="15840"/>
      <w:pgMar w:top="1134" w:right="1247" w:bottom="1134"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FAA5" w14:textId="77777777" w:rsidR="00F149EC" w:rsidRDefault="00F149EC">
      <w:pPr>
        <w:spacing w:after="0" w:line="240" w:lineRule="auto"/>
      </w:pPr>
      <w:r>
        <w:separator/>
      </w:r>
    </w:p>
  </w:endnote>
  <w:endnote w:type="continuationSeparator" w:id="0">
    <w:p w14:paraId="7DADCC06" w14:textId="77777777" w:rsidR="00F149EC" w:rsidRDefault="00F1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B0FE" w14:textId="77777777" w:rsidR="003018D5" w:rsidRDefault="00000000">
    <w:pPr>
      <w:pStyle w:val="Footer"/>
      <w:jc w:val="center"/>
    </w:pPr>
    <w:r>
      <w:rPr>
        <w:rFonts w:ascii="Noto Sans Arabic" w:eastAsia="Noto Sans Arabic" w:hAnsi="Noto Sans Arabic" w:cs="Noto Sans Arabic"/>
        <w:sz w:val="20"/>
      </w:rPr>
      <w:fldChar w:fldCharType="begin"/>
    </w:r>
    <w:r>
      <w:rPr>
        <w:rFonts w:ascii="Noto Sans Arabic" w:eastAsia="Noto Sans Arabic" w:hAnsi="Noto Sans Arabic" w:cs="Noto Sans Arabic"/>
        <w:sz w:val="20"/>
      </w:rPr>
      <w:instrText>PAGE</w:instrText>
    </w:r>
    <w:r w:rsidR="00194467">
      <w:rPr>
        <w:rFonts w:ascii="Noto Sans Arabic" w:eastAsia="Noto Sans Arabic" w:hAnsi="Noto Sans Arabic" w:cs="Noto Sans Arabic"/>
        <w:sz w:val="20"/>
      </w:rPr>
      <w:fldChar w:fldCharType="separate"/>
    </w:r>
    <w:r w:rsidR="00194467">
      <w:rPr>
        <w:rFonts w:ascii="Noto Sans Arabic" w:eastAsia="Noto Sans Arabic" w:hAnsi="Noto Sans Arabic" w:cs="Noto Sans Arabic"/>
        <w:noProof/>
        <w:sz w:val="20"/>
      </w:rPr>
      <w:t>1</w:t>
    </w:r>
    <w:r>
      <w:rPr>
        <w:rFonts w:ascii="Noto Sans Arabic" w:eastAsia="Noto Sans Arabic" w:hAnsi="Noto Sans Arabic" w:cs="Noto Sans Arab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2335" w14:textId="77777777" w:rsidR="00F149EC" w:rsidRDefault="00F149EC">
      <w:pPr>
        <w:spacing w:after="0" w:line="240" w:lineRule="auto"/>
      </w:pPr>
      <w:r>
        <w:separator/>
      </w:r>
    </w:p>
  </w:footnote>
  <w:footnote w:type="continuationSeparator" w:id="0">
    <w:p w14:paraId="20A75481" w14:textId="77777777" w:rsidR="00F149EC" w:rsidRDefault="00F1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BA35" w14:textId="77777777" w:rsidR="003018D5" w:rsidRDefault="00000000">
    <w:pPr>
      <w:pStyle w:val="Header"/>
      <w:bidi/>
      <w:jc w:val="right"/>
    </w:pPr>
    <w:proofErr w:type="spellStart"/>
    <w:r>
      <w:rPr>
        <w:rFonts w:ascii="Noto Sans Arabic" w:eastAsia="Noto Sans Arabic" w:hAnsi="Noto Sans Arabic" w:cs="Noto Sans Arabic"/>
        <w:color w:val="666666"/>
        <w:sz w:val="18"/>
      </w:rPr>
      <w:t>نموذج</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كتابة</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محتوى</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عربي</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أصلي</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0381611">
    <w:abstractNumId w:val="8"/>
  </w:num>
  <w:num w:numId="2" w16cid:durableId="1701011248">
    <w:abstractNumId w:val="6"/>
  </w:num>
  <w:num w:numId="3" w16cid:durableId="1453093085">
    <w:abstractNumId w:val="5"/>
  </w:num>
  <w:num w:numId="4" w16cid:durableId="1807233040">
    <w:abstractNumId w:val="4"/>
  </w:num>
  <w:num w:numId="5" w16cid:durableId="674917966">
    <w:abstractNumId w:val="7"/>
  </w:num>
  <w:num w:numId="6" w16cid:durableId="2010714032">
    <w:abstractNumId w:val="3"/>
  </w:num>
  <w:num w:numId="7" w16cid:durableId="1259682547">
    <w:abstractNumId w:val="2"/>
  </w:num>
  <w:num w:numId="8" w16cid:durableId="948971614">
    <w:abstractNumId w:val="1"/>
  </w:num>
  <w:num w:numId="9" w16cid:durableId="92827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4467"/>
    <w:rsid w:val="0029639D"/>
    <w:rsid w:val="003018D5"/>
    <w:rsid w:val="00326F90"/>
    <w:rsid w:val="00AA1D8D"/>
    <w:rsid w:val="00B47730"/>
    <w:rsid w:val="00BF56AF"/>
    <w:rsid w:val="00CB0664"/>
    <w:rsid w:val="00F149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8F180"/>
  <w14:defaultImageDpi w14:val="300"/>
  <w15:docId w15:val="{5C3C3AC3-A4F2-4337-8133-A8D37913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abicTitle">
    <w:name w:val="ArabicTitle"/>
    <w:basedOn w:val="Title"/>
    <w:rPr>
      <w:rFonts w:ascii="Noto Sans Arabic" w:hAnsi="Noto Sans Arabic" w:cs="Noto Sans Arabic"/>
      <w:b/>
      <w:sz w:val="44"/>
    </w:rPr>
  </w:style>
  <w:style w:type="paragraph" w:customStyle="1" w:styleId="ArabicHeading1">
    <w:name w:val="ArabicHeading1"/>
    <w:basedOn w:val="Heading1"/>
    <w:rPr>
      <w:rFonts w:ascii="Noto Sans Arabic" w:hAnsi="Noto Sans Arabic" w:cs="Noto Sans Arabic"/>
      <w:color w:val="1F4E79"/>
      <w:sz w:val="30"/>
    </w:rPr>
  </w:style>
  <w:style w:type="paragraph" w:customStyle="1" w:styleId="ArabicBody">
    <w:name w:val="ArabicBody"/>
    <w:basedOn w:val="Normal"/>
    <w:rPr>
      <w:rFonts w:ascii="Noto Sans Arabic" w:hAnsi="Noto Sans Arabic" w:cs="Noto Sans Arabic"/>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Tamer</dc:creator>
  <cp:keywords/>
  <dc:description/>
  <cp:lastModifiedBy>Ahmed Tamer Ahmed Ahmed Mohamed Madkour [Student-HML]</cp:lastModifiedBy>
  <cp:revision>2</cp:revision>
  <dcterms:created xsi:type="dcterms:W3CDTF">2013-12-23T23:15:00Z</dcterms:created>
  <dcterms:modified xsi:type="dcterms:W3CDTF">2026-03-10T18:07:00Z</dcterms:modified>
  <cp:category/>
</cp:coreProperties>
</file>